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6" w:lineRule="exact"/>
        <w:rPr>
          <w:rFonts w:ascii="华文仿宋" w:hAnsi="华文仿宋" w:eastAsia="华文仿宋"/>
          <w:sz w:val="30"/>
          <w:szCs w:val="30"/>
        </w:rPr>
      </w:pPr>
      <w:r>
        <w:rPr>
          <w:rFonts w:hint="eastAsia" w:ascii="华文仿宋" w:hAnsi="华文仿宋" w:eastAsia="华文仿宋"/>
          <w:sz w:val="30"/>
          <w:szCs w:val="30"/>
        </w:rPr>
        <w:t>附件</w:t>
      </w:r>
    </w:p>
    <w:p>
      <w:pPr>
        <w:spacing w:line="600" w:lineRule="exact"/>
        <w:jc w:val="center"/>
        <w:rPr>
          <w:rFonts w:eastAsia="方正小标宋简体"/>
          <w:b/>
          <w:bCs/>
          <w:sz w:val="36"/>
          <w:szCs w:val="36"/>
        </w:rPr>
      </w:pPr>
      <w:r>
        <w:rPr>
          <w:rFonts w:eastAsia="方正小标宋简体"/>
          <w:b/>
          <w:bCs/>
          <w:sz w:val="36"/>
          <w:szCs w:val="36"/>
        </w:rPr>
        <w:t>201</w:t>
      </w:r>
      <w:r>
        <w:rPr>
          <w:rFonts w:hint="eastAsia" w:eastAsia="方正小标宋简体"/>
          <w:b/>
          <w:bCs/>
          <w:sz w:val="36"/>
          <w:szCs w:val="36"/>
          <w:lang w:val="en-US" w:eastAsia="zh-CN"/>
        </w:rPr>
        <w:t>7</w:t>
      </w:r>
      <w:r>
        <w:rPr>
          <w:rFonts w:eastAsia="方正小标宋简体"/>
          <w:b/>
          <w:bCs/>
          <w:sz w:val="36"/>
          <w:szCs w:val="36"/>
        </w:rPr>
        <w:t>年</w:t>
      </w:r>
      <w:r>
        <w:rPr>
          <w:rFonts w:hint="eastAsia" w:eastAsia="方正小标宋简体"/>
          <w:b/>
          <w:bCs/>
          <w:sz w:val="36"/>
          <w:szCs w:val="36"/>
        </w:rPr>
        <w:t>光学工程</w:t>
      </w:r>
      <w:r>
        <w:rPr>
          <w:rFonts w:hint="eastAsia" w:eastAsia="方正小标宋简体"/>
          <w:b/>
          <w:bCs/>
          <w:sz w:val="36"/>
          <w:szCs w:val="36"/>
          <w:lang w:eastAsia="zh-CN"/>
        </w:rPr>
        <w:t>一级</w:t>
      </w:r>
      <w:r>
        <w:rPr>
          <w:rFonts w:hint="eastAsia" w:eastAsia="方正小标宋简体"/>
          <w:b/>
          <w:bCs/>
          <w:sz w:val="36"/>
          <w:szCs w:val="36"/>
        </w:rPr>
        <w:t>学科</w:t>
      </w:r>
      <w:r>
        <w:rPr>
          <w:rFonts w:eastAsia="方正小标宋简体"/>
          <w:b/>
          <w:bCs/>
          <w:sz w:val="36"/>
          <w:szCs w:val="36"/>
        </w:rPr>
        <w:t>学位授权点</w:t>
      </w:r>
    </w:p>
    <w:p>
      <w:pPr>
        <w:spacing w:line="600" w:lineRule="exact"/>
        <w:jc w:val="center"/>
        <w:rPr>
          <w:rFonts w:eastAsia="方正小标宋简体"/>
          <w:b/>
          <w:bCs/>
          <w:sz w:val="36"/>
          <w:szCs w:val="36"/>
        </w:rPr>
      </w:pPr>
      <w:r>
        <w:rPr>
          <w:rFonts w:eastAsia="方正小标宋简体"/>
          <w:b/>
          <w:bCs/>
          <w:sz w:val="36"/>
          <w:szCs w:val="36"/>
        </w:rPr>
        <w:t>专项评估工作方案</w:t>
      </w: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w:t>
      </w:r>
      <w:r>
        <w:rPr>
          <w:rFonts w:eastAsia="方正仿宋简体"/>
          <w:sz w:val="30"/>
          <w:szCs w:val="30"/>
        </w:rPr>
        <w:t>《关于开展201</w:t>
      </w:r>
      <w:r>
        <w:rPr>
          <w:rFonts w:hint="eastAsia" w:eastAsia="方正仿宋简体"/>
          <w:sz w:val="30"/>
          <w:szCs w:val="30"/>
          <w:lang w:val="en-US" w:eastAsia="zh-CN"/>
        </w:rPr>
        <w:t>7</w:t>
      </w:r>
      <w:r>
        <w:rPr>
          <w:rFonts w:eastAsia="方正仿宋简体"/>
          <w:sz w:val="30"/>
          <w:szCs w:val="30"/>
        </w:rPr>
        <w:t>年学位授权点专项评估工作的通知》（学位〔201</w:t>
      </w:r>
      <w:r>
        <w:rPr>
          <w:rFonts w:hint="eastAsia" w:eastAsia="方正仿宋简体"/>
          <w:sz w:val="30"/>
          <w:szCs w:val="30"/>
          <w:lang w:val="en-US" w:eastAsia="zh-CN"/>
        </w:rPr>
        <w:t>7</w:t>
      </w:r>
      <w:r>
        <w:rPr>
          <w:rFonts w:eastAsia="方正仿宋简体"/>
          <w:sz w:val="30"/>
          <w:szCs w:val="30"/>
        </w:rPr>
        <w:t>〕1</w:t>
      </w:r>
      <w:r>
        <w:rPr>
          <w:rFonts w:hint="eastAsia" w:eastAsia="方正仿宋简体"/>
          <w:sz w:val="30"/>
          <w:szCs w:val="30"/>
          <w:lang w:val="en-US" w:eastAsia="zh-CN"/>
        </w:rPr>
        <w:t>1</w:t>
      </w:r>
      <w:r>
        <w:rPr>
          <w:rFonts w:eastAsia="方正仿宋简体"/>
          <w:sz w:val="30"/>
          <w:szCs w:val="30"/>
        </w:rPr>
        <w:t>号）文件精神和要求，现就201</w:t>
      </w:r>
      <w:r>
        <w:rPr>
          <w:rFonts w:hint="eastAsia" w:eastAsia="方正仿宋简体"/>
          <w:sz w:val="30"/>
          <w:szCs w:val="30"/>
          <w:lang w:val="en-US" w:eastAsia="zh-CN"/>
        </w:rPr>
        <w:t>7</w:t>
      </w:r>
      <w:r>
        <w:rPr>
          <w:rFonts w:eastAsia="方正仿宋简体"/>
          <w:sz w:val="30"/>
          <w:szCs w:val="30"/>
        </w:rPr>
        <w:t>年</w:t>
      </w:r>
      <w:r>
        <w:rPr>
          <w:rFonts w:hint="eastAsia" w:eastAsia="方正仿宋简体"/>
          <w:sz w:val="30"/>
          <w:szCs w:val="30"/>
        </w:rPr>
        <w:t>光学工程学科</w:t>
      </w:r>
      <w:bookmarkStart w:id="0" w:name="_GoBack"/>
      <w:bookmarkEnd w:id="0"/>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pacing w:line="516" w:lineRule="exact"/>
        <w:ind w:firstLine="560"/>
        <w:rPr>
          <w:rFonts w:eastAsia="方正仿宋简体"/>
          <w:sz w:val="30"/>
          <w:szCs w:val="30"/>
        </w:rPr>
      </w:pPr>
      <w:r>
        <w:rPr>
          <w:rFonts w:hint="eastAsia" w:eastAsia="方正仿宋简体"/>
          <w:color w:val="000000"/>
          <w:kern w:val="0"/>
          <w:sz w:val="30"/>
          <w:szCs w:val="30"/>
          <w:lang w:val="en-US" w:eastAsia="zh-CN"/>
        </w:rPr>
        <w:t>2013</w:t>
      </w:r>
      <w:r>
        <w:rPr>
          <w:rFonts w:hint="eastAsia" w:eastAsia="方正仿宋简体"/>
          <w:color w:val="000000"/>
          <w:kern w:val="0"/>
          <w:sz w:val="30"/>
          <w:szCs w:val="30"/>
        </w:rPr>
        <w:t>年获得授权的</w:t>
      </w:r>
      <w:r>
        <w:rPr>
          <w:rFonts w:hint="eastAsia" w:eastAsia="方正仿宋简体"/>
          <w:sz w:val="30"/>
          <w:szCs w:val="30"/>
        </w:rPr>
        <w:t>光学工程学科</w:t>
      </w:r>
      <w:r>
        <w:rPr>
          <w:rFonts w:hint="eastAsia" w:eastAsia="方正仿宋简体"/>
          <w:sz w:val="30"/>
          <w:szCs w:val="30"/>
          <w:lang w:val="en-US" w:eastAsia="zh-CN"/>
        </w:rPr>
        <w:t>学术</w:t>
      </w:r>
      <w:r>
        <w:rPr>
          <w:rFonts w:hint="eastAsia" w:eastAsia="方正仿宋简体"/>
          <w:color w:val="000000"/>
          <w:kern w:val="0"/>
          <w:sz w:val="30"/>
          <w:szCs w:val="30"/>
        </w:rPr>
        <w:t>学位授权点</w:t>
      </w:r>
      <w:r>
        <w:rPr>
          <w:rFonts w:hint="eastAsia" w:eastAsia="方正仿宋简体"/>
          <w:color w:val="000000"/>
          <w:kern w:val="0"/>
          <w:sz w:val="30"/>
          <w:szCs w:val="30"/>
          <w:lang w:val="en-US" w:eastAsia="zh-CN"/>
        </w:rPr>
        <w:t>和专业学位授权点</w:t>
      </w:r>
      <w:r>
        <w:rPr>
          <w:rFonts w:hint="eastAsia" w:eastAsia="方正仿宋简体"/>
          <w:color w:val="000000"/>
          <w:kern w:val="0"/>
          <w:sz w:val="30"/>
          <w:szCs w:val="30"/>
        </w:rPr>
        <w:t>（</w:t>
      </w:r>
      <w:r>
        <w:rPr>
          <w:rFonts w:hint="eastAsia" w:eastAsia="方正仿宋简体"/>
          <w:color w:val="000000"/>
          <w:kern w:val="0"/>
          <w:sz w:val="30"/>
          <w:szCs w:val="30"/>
          <w:lang w:val="en-US" w:eastAsia="zh-CN"/>
        </w:rPr>
        <w:t>以下简称参评点</w:t>
      </w:r>
      <w:r>
        <w:rPr>
          <w:rFonts w:eastAsia="方正仿宋简体"/>
          <w:color w:val="000000"/>
          <w:kern w:val="0"/>
          <w:sz w:val="30"/>
          <w:szCs w:val="30"/>
        </w:rPr>
        <w:t>）</w:t>
      </w:r>
      <w:r>
        <w:rPr>
          <w:rFonts w:hint="eastAsia" w:eastAsia="方正仿宋简体"/>
          <w:color w:val="000000"/>
          <w:kern w:val="0"/>
          <w:sz w:val="30"/>
          <w:szCs w:val="30"/>
        </w:rPr>
        <w:t>，</w:t>
      </w:r>
      <w:r>
        <w:rPr>
          <w:rFonts w:eastAsia="方正仿宋简体"/>
          <w:color w:val="000000"/>
          <w:kern w:val="0"/>
          <w:sz w:val="30"/>
          <w:szCs w:val="30"/>
        </w:rPr>
        <w:t>名单见附件</w:t>
      </w:r>
      <w:r>
        <w:rPr>
          <w:rFonts w:hint="eastAsia" w:eastAsia="方正仿宋简体"/>
          <w:color w:val="000000"/>
          <w:kern w:val="0"/>
          <w:sz w:val="30"/>
          <w:szCs w:val="30"/>
          <w:lang w:val="en-US" w:eastAsia="zh-CN"/>
        </w:rPr>
        <w:t>1</w:t>
      </w:r>
      <w:r>
        <w:rPr>
          <w:rFonts w:eastAsia="方正仿宋简体"/>
          <w:color w:val="000000"/>
          <w:kern w:val="0"/>
          <w:sz w:val="30"/>
          <w:szCs w:val="30"/>
        </w:rPr>
        <w:t>。</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hint="eastAsia" w:eastAsia="方正仿宋简体"/>
          <w:sz w:val="30"/>
          <w:szCs w:val="30"/>
        </w:rPr>
        <w:t>光学工程学科</w:t>
      </w:r>
      <w:r>
        <w:rPr>
          <w:rFonts w:eastAsia="方正仿宋简体"/>
          <w:color w:val="000000"/>
          <w:kern w:val="0"/>
          <w:sz w:val="30"/>
          <w:szCs w:val="30"/>
        </w:rPr>
        <w:t>学位授权点的</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hint="eastAsia" w:eastAsia="方正仿宋简体"/>
          <w:sz w:val="30"/>
          <w:szCs w:val="30"/>
        </w:rPr>
        <w:t>光学工程</w:t>
      </w:r>
      <w:r>
        <w:rPr>
          <w:rFonts w:hint="eastAsia" w:eastAsia="方正仿宋简体"/>
          <w:color w:val="000000"/>
          <w:kern w:val="0"/>
          <w:sz w:val="30"/>
          <w:szCs w:val="30"/>
        </w:rPr>
        <w:t>学科评议组</w:t>
      </w:r>
      <w:r>
        <w:rPr>
          <w:rFonts w:eastAsia="方正仿宋简体"/>
          <w:color w:val="000000"/>
          <w:kern w:val="0"/>
          <w:sz w:val="30"/>
          <w:szCs w:val="30"/>
        </w:rPr>
        <w:t>（以下简称“</w:t>
      </w:r>
      <w:r>
        <w:rPr>
          <w:rFonts w:hint="eastAsia" w:eastAsia="方正仿宋简体"/>
          <w:color w:val="000000"/>
          <w:kern w:val="0"/>
          <w:sz w:val="30"/>
          <w:szCs w:val="30"/>
        </w:rPr>
        <w:t>学科评议组</w:t>
      </w:r>
      <w:r>
        <w:rPr>
          <w:rFonts w:eastAsia="方正仿宋简体"/>
          <w:color w:val="000000"/>
          <w:kern w:val="0"/>
          <w:sz w:val="30"/>
          <w:szCs w:val="30"/>
        </w:rPr>
        <w:t>”）组织实施。</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16" w:lineRule="exact"/>
        <w:ind w:firstLine="560"/>
        <w:rPr>
          <w:rFonts w:eastAsia="方正仿宋简体"/>
          <w:sz w:val="30"/>
          <w:szCs w:val="30"/>
        </w:rPr>
      </w:pPr>
      <w:r>
        <w:rPr>
          <w:rFonts w:eastAsia="方正仿宋简体"/>
          <w:color w:val="000000"/>
          <w:kern w:val="0"/>
          <w:sz w:val="30"/>
          <w:szCs w:val="30"/>
        </w:rPr>
        <w:t>专项评估主要是检查学位授权点研究生培养体系的完备性，包括师资队伍（队伍结构、导师水平）、人才培养（招生选拔、培养方案、课程教学、学术训练、学位授予）和质量保证（制度建设、过程管理、学风建设）等。</w:t>
      </w:r>
    </w:p>
    <w:p>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专项评估的</w:t>
      </w:r>
      <w:r>
        <w:rPr>
          <w:rFonts w:hint="eastAsia" w:eastAsia="方正仿宋简体"/>
          <w:color w:val="000000"/>
          <w:kern w:val="0"/>
          <w:sz w:val="30"/>
          <w:szCs w:val="30"/>
        </w:rPr>
        <w:t>要素</w:t>
      </w:r>
      <w:r>
        <w:rPr>
          <w:rFonts w:eastAsia="方正仿宋简体"/>
          <w:color w:val="000000"/>
          <w:kern w:val="0"/>
          <w:sz w:val="30"/>
          <w:szCs w:val="30"/>
        </w:rPr>
        <w:t>见附件2。</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四、评估程序与方式</w:t>
      </w:r>
    </w:p>
    <w:p>
      <w:pPr>
        <w:spacing w:line="516" w:lineRule="exact"/>
        <w:ind w:firstLine="560"/>
        <w:rPr>
          <w:rFonts w:eastAsia="方正仿宋简体"/>
          <w:sz w:val="30"/>
          <w:szCs w:val="30"/>
        </w:rPr>
      </w:pPr>
      <w:r>
        <w:rPr>
          <w:rFonts w:hint="eastAsia" w:eastAsia="方正仿宋简体"/>
          <w:color w:val="000000"/>
          <w:kern w:val="0"/>
          <w:sz w:val="30"/>
          <w:szCs w:val="30"/>
        </w:rPr>
        <w:t>1.学科评议组</w:t>
      </w:r>
      <w:r>
        <w:rPr>
          <w:rFonts w:hint="eastAsia" w:eastAsia="方正仿宋简体"/>
          <w:color w:val="000000"/>
          <w:kern w:val="0"/>
          <w:sz w:val="30"/>
          <w:szCs w:val="30"/>
          <w:lang w:val="en-US" w:eastAsia="zh-CN"/>
        </w:rPr>
        <w:t>根据学科或专业类别实际，</w:t>
      </w:r>
      <w:r>
        <w:rPr>
          <w:rFonts w:eastAsia="方正仿宋简体"/>
          <w:color w:val="000000"/>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color w:val="000000"/>
          <w:kern w:val="0"/>
          <w:sz w:val="30"/>
          <w:szCs w:val="30"/>
        </w:rPr>
        <w:t>转发</w:t>
      </w:r>
      <w:r>
        <w:rPr>
          <w:rFonts w:hint="eastAsia" w:eastAsia="方正仿宋简体"/>
          <w:color w:val="000000"/>
          <w:kern w:val="0"/>
          <w:sz w:val="30"/>
          <w:szCs w:val="30"/>
          <w:lang w:val="en-US" w:eastAsia="zh-CN"/>
        </w:rPr>
        <w:t>省级学位委员会和学位授予单位</w:t>
      </w:r>
      <w:r>
        <w:rPr>
          <w:rFonts w:eastAsia="方正仿宋简体"/>
          <w:color w:val="000000"/>
          <w:kern w:val="0"/>
          <w:sz w:val="30"/>
          <w:szCs w:val="30"/>
        </w:rPr>
        <w:t>。</w:t>
      </w:r>
    </w:p>
    <w:p>
      <w:pPr>
        <w:spacing w:line="516" w:lineRule="exact"/>
        <w:ind w:firstLine="560"/>
        <w:rPr>
          <w:rFonts w:hint="eastAsia" w:eastAsia="方正仿宋简体"/>
          <w:color w:val="000000"/>
          <w:kern w:val="0"/>
          <w:sz w:val="30"/>
          <w:szCs w:val="30"/>
          <w:lang w:val="en-US" w:eastAsia="zh-CN"/>
        </w:rPr>
      </w:pPr>
      <w:r>
        <w:rPr>
          <w:rFonts w:hint="eastAsia" w:eastAsia="方正仿宋简体"/>
          <w:color w:val="000000"/>
          <w:kern w:val="0"/>
          <w:sz w:val="30"/>
          <w:szCs w:val="30"/>
        </w:rPr>
        <w:t>2.</w:t>
      </w:r>
      <w:r>
        <w:rPr>
          <w:rFonts w:hint="eastAsia" w:eastAsia="方正仿宋简体"/>
          <w:color w:val="000000"/>
          <w:kern w:val="0"/>
          <w:sz w:val="30"/>
          <w:szCs w:val="30"/>
          <w:lang w:val="en-US" w:eastAsia="zh-CN"/>
        </w:rPr>
        <w:t>学位授予单位收到专项评估工作方案后，</w:t>
      </w:r>
      <w:r>
        <w:rPr>
          <w:rFonts w:eastAsia="方正仿宋简体"/>
          <w:color w:val="000000"/>
          <w:kern w:val="0"/>
          <w:sz w:val="30"/>
          <w:szCs w:val="30"/>
        </w:rPr>
        <w:t>各参评单位按照文件要求</w:t>
      </w:r>
      <w:r>
        <w:rPr>
          <w:rFonts w:hint="eastAsia" w:eastAsia="方正仿宋简体"/>
          <w:color w:val="000000"/>
          <w:kern w:val="0"/>
          <w:sz w:val="30"/>
          <w:szCs w:val="30"/>
        </w:rPr>
        <w:t>和评估工作方案</w:t>
      </w:r>
      <w:r>
        <w:rPr>
          <w:rFonts w:eastAsia="方正仿宋简体"/>
          <w:color w:val="000000"/>
          <w:kern w:val="0"/>
          <w:sz w:val="30"/>
          <w:szCs w:val="30"/>
        </w:rPr>
        <w:t>进行自我评估，</w:t>
      </w:r>
      <w:r>
        <w:rPr>
          <w:rFonts w:eastAsia="方正仿宋简体"/>
          <w:kern w:val="0"/>
          <w:sz w:val="30"/>
          <w:szCs w:val="30"/>
        </w:rPr>
        <w:t>按要求撰写</w:t>
      </w:r>
      <w:r>
        <w:rPr>
          <w:rFonts w:hint="eastAsia" w:eastAsia="方正仿宋简体"/>
          <w:kern w:val="0"/>
          <w:sz w:val="30"/>
          <w:szCs w:val="30"/>
        </w:rPr>
        <w:t>评估报告（见附件3）</w:t>
      </w:r>
      <w:r>
        <w:rPr>
          <w:rFonts w:eastAsia="方正仿宋简体"/>
          <w:kern w:val="0"/>
          <w:sz w:val="30"/>
          <w:szCs w:val="30"/>
        </w:rPr>
        <w:t>，</w:t>
      </w:r>
      <w:r>
        <w:rPr>
          <w:rFonts w:eastAsia="方正仿宋简体"/>
          <w:color w:val="000000"/>
          <w:kern w:val="0"/>
          <w:sz w:val="30"/>
          <w:szCs w:val="30"/>
        </w:rPr>
        <w:t>并于201</w:t>
      </w:r>
      <w:r>
        <w:rPr>
          <w:rFonts w:hint="eastAsia" w:eastAsia="方正仿宋简体"/>
          <w:color w:val="000000"/>
          <w:kern w:val="0"/>
          <w:sz w:val="30"/>
          <w:szCs w:val="30"/>
          <w:lang w:val="en-US" w:eastAsia="zh-CN"/>
        </w:rPr>
        <w:t>7</w:t>
      </w:r>
      <w:r>
        <w:rPr>
          <w:rFonts w:eastAsia="方正仿宋简体"/>
          <w:color w:val="000000"/>
          <w:kern w:val="0"/>
          <w:sz w:val="30"/>
          <w:szCs w:val="30"/>
        </w:rPr>
        <w:t>年</w:t>
      </w:r>
      <w:r>
        <w:rPr>
          <w:rFonts w:hint="eastAsia" w:eastAsia="方正仿宋简体"/>
          <w:color w:val="000000"/>
          <w:kern w:val="0"/>
          <w:sz w:val="30"/>
          <w:szCs w:val="30"/>
          <w:lang w:val="en-US" w:eastAsia="zh-CN"/>
        </w:rPr>
        <w:t>5</w:t>
      </w:r>
      <w:r>
        <w:rPr>
          <w:rFonts w:eastAsia="方正仿宋简体"/>
          <w:color w:val="000000"/>
          <w:kern w:val="0"/>
          <w:sz w:val="30"/>
          <w:szCs w:val="30"/>
        </w:rPr>
        <w:t>月</w:t>
      </w:r>
      <w:r>
        <w:rPr>
          <w:rFonts w:hint="eastAsia" w:eastAsia="方正仿宋简体"/>
          <w:color w:val="000000"/>
          <w:kern w:val="0"/>
          <w:sz w:val="30"/>
          <w:szCs w:val="30"/>
          <w:lang w:val="en-US" w:eastAsia="zh-CN"/>
        </w:rPr>
        <w:t>12</w:t>
      </w:r>
      <w:r>
        <w:rPr>
          <w:rFonts w:eastAsia="方正仿宋简体"/>
          <w:color w:val="000000"/>
          <w:kern w:val="0"/>
          <w:sz w:val="30"/>
          <w:szCs w:val="30"/>
        </w:rPr>
        <w:t>日前将</w:t>
      </w:r>
      <w:r>
        <w:rPr>
          <w:rFonts w:hint="eastAsia" w:eastAsia="方正仿宋简体"/>
          <w:kern w:val="0"/>
          <w:sz w:val="30"/>
          <w:szCs w:val="30"/>
        </w:rPr>
        <w:t>评估报告和其它有关材料（见附件4）</w:t>
      </w:r>
      <w:r>
        <w:rPr>
          <w:rFonts w:eastAsia="方正仿宋简体"/>
          <w:color w:val="000000"/>
          <w:kern w:val="0"/>
          <w:sz w:val="30"/>
          <w:szCs w:val="30"/>
        </w:rPr>
        <w:t>上传至“全国学位与研究生教育质量信息平台”</w:t>
      </w:r>
      <w:r>
        <w:rPr>
          <w:rFonts w:eastAsia="方正仿宋简体"/>
          <w:kern w:val="0"/>
          <w:sz w:val="30"/>
          <w:szCs w:val="30"/>
        </w:rPr>
        <w:t xml:space="preserve"> （http://zlxxpt.chinadegrees.cn）</w:t>
      </w:r>
      <w:r>
        <w:rPr>
          <w:rFonts w:eastAsia="方正仿宋简体"/>
          <w:color w:val="000000"/>
          <w:kern w:val="0"/>
          <w:sz w:val="30"/>
          <w:szCs w:val="30"/>
        </w:rPr>
        <w:t>向社会公开。</w:t>
      </w:r>
    </w:p>
    <w:p>
      <w:pPr>
        <w:spacing w:line="516" w:lineRule="exact"/>
        <w:ind w:firstLine="560"/>
        <w:rPr>
          <w:rFonts w:hint="eastAsia" w:eastAsia="方正仿宋简体"/>
          <w:color w:val="000000"/>
          <w:kern w:val="0"/>
          <w:sz w:val="30"/>
          <w:szCs w:val="30"/>
          <w:lang w:val="en-US" w:eastAsia="zh-CN"/>
        </w:rPr>
      </w:pPr>
      <w:r>
        <w:rPr>
          <w:rFonts w:hint="eastAsia" w:eastAsia="方正仿宋简体"/>
          <w:color w:val="000000"/>
          <w:kern w:val="0"/>
          <w:sz w:val="30"/>
          <w:szCs w:val="30"/>
          <w:lang w:val="en-US" w:eastAsia="zh-CN"/>
        </w:rPr>
        <w:t>学位授予单位拟主动放弃的参评点，应在2017年5月10日前，向国务院学位委员会办公室以及有关省级学位委员会、学科评议组、教指委提交主动放弃申请。</w:t>
      </w:r>
    </w:p>
    <w:p>
      <w:pPr>
        <w:spacing w:line="516" w:lineRule="exact"/>
        <w:ind w:firstLine="560"/>
        <w:rPr>
          <w:rFonts w:hint="eastAsia" w:eastAsia="方正仿宋简体"/>
          <w:color w:val="000000"/>
          <w:kern w:val="0"/>
          <w:sz w:val="30"/>
          <w:szCs w:val="30"/>
          <w:lang w:val="en-US" w:eastAsia="zh-CN"/>
        </w:rPr>
      </w:pPr>
      <w:r>
        <w:rPr>
          <w:rFonts w:hint="eastAsia" w:eastAsia="方正仿宋简体"/>
          <w:color w:val="000000"/>
          <w:kern w:val="0"/>
          <w:sz w:val="30"/>
          <w:szCs w:val="30"/>
          <w:lang w:val="en-US" w:eastAsia="zh-CN"/>
        </w:rPr>
        <w:t>未按时提交参评点评估材料且未申请主动放弃的，该参评点视为评估结果“不合格”。</w:t>
      </w:r>
    </w:p>
    <w:p>
      <w:pPr>
        <w:numPr>
          <w:ilvl w:val="0"/>
          <w:numId w:val="1"/>
        </w:numPr>
        <w:spacing w:line="516" w:lineRule="exact"/>
        <w:ind w:firstLine="560"/>
        <w:rPr>
          <w:rFonts w:hint="eastAsia" w:eastAsia="方正仿宋简体"/>
          <w:color w:val="000000"/>
          <w:kern w:val="0"/>
          <w:sz w:val="30"/>
          <w:szCs w:val="30"/>
          <w:lang w:val="en-US" w:eastAsia="zh-CN"/>
        </w:rPr>
      </w:pPr>
      <w:r>
        <w:rPr>
          <w:rFonts w:hint="eastAsia" w:eastAsia="方正仿宋简体"/>
          <w:color w:val="000000"/>
          <w:kern w:val="0"/>
          <w:sz w:val="30"/>
          <w:szCs w:val="30"/>
        </w:rPr>
        <w:t>学科评议</w:t>
      </w:r>
      <w:r>
        <w:rPr>
          <w:rFonts w:eastAsia="方正仿宋简体"/>
          <w:color w:val="000000"/>
          <w:kern w:val="0"/>
          <w:sz w:val="30"/>
          <w:szCs w:val="30"/>
        </w:rPr>
        <w:t>根据</w:t>
      </w:r>
      <w:r>
        <w:rPr>
          <w:rFonts w:hint="eastAsia" w:eastAsia="方正仿宋简体"/>
          <w:color w:val="000000"/>
          <w:kern w:val="0"/>
          <w:sz w:val="30"/>
          <w:szCs w:val="30"/>
          <w:lang w:val="en-US" w:eastAsia="zh-CN"/>
        </w:rPr>
        <w:t>专项评估工作方案及</w:t>
      </w:r>
      <w:r>
        <w:rPr>
          <w:rFonts w:eastAsia="方正仿宋简体"/>
          <w:color w:val="000000"/>
          <w:kern w:val="0"/>
          <w:sz w:val="30"/>
          <w:szCs w:val="30"/>
        </w:rPr>
        <w:t>《博士硕士学位基本要求》，</w:t>
      </w:r>
      <w:r>
        <w:rPr>
          <w:rFonts w:hint="eastAsia" w:eastAsia="方正仿宋简体"/>
          <w:color w:val="000000"/>
          <w:kern w:val="0"/>
          <w:sz w:val="30"/>
          <w:szCs w:val="30"/>
          <w:lang w:val="en-US" w:eastAsia="zh-CN"/>
        </w:rPr>
        <w:t>组织专家评阅参评点评估材料。主要采取通讯评议或会议评议方式进行评议。</w:t>
      </w:r>
    </w:p>
    <w:p>
      <w:pPr>
        <w:numPr>
          <w:ilvl w:val="0"/>
          <w:numId w:val="1"/>
        </w:numPr>
        <w:spacing w:line="516" w:lineRule="exact"/>
        <w:ind w:firstLine="560"/>
        <w:rPr>
          <w:rFonts w:eastAsia="方正仿宋简体"/>
          <w:kern w:val="0"/>
          <w:sz w:val="30"/>
          <w:szCs w:val="30"/>
        </w:rPr>
      </w:pPr>
      <w:r>
        <w:rPr>
          <w:rFonts w:hint="eastAsia" w:eastAsia="方正仿宋简体"/>
          <w:color w:val="000000"/>
          <w:kern w:val="0"/>
          <w:sz w:val="30"/>
          <w:szCs w:val="30"/>
          <w:lang w:val="en-US" w:eastAsia="zh-CN"/>
        </w:rPr>
        <w:t>学科评议组在充分评议基础上，组织参评专家</w:t>
      </w:r>
      <w:r>
        <w:rPr>
          <w:rFonts w:eastAsia="方正仿宋简体"/>
          <w:color w:val="000000"/>
          <w:kern w:val="0"/>
          <w:sz w:val="30"/>
          <w:szCs w:val="30"/>
        </w:rPr>
        <w:t>对参评</w:t>
      </w:r>
      <w:r>
        <w:rPr>
          <w:rFonts w:hint="eastAsia" w:eastAsia="方正仿宋简体"/>
          <w:color w:val="000000"/>
          <w:kern w:val="0"/>
          <w:sz w:val="30"/>
          <w:szCs w:val="30"/>
          <w:lang w:val="en-US" w:eastAsia="zh-CN"/>
        </w:rPr>
        <w:t>电进行表决，</w:t>
      </w:r>
      <w:r>
        <w:rPr>
          <w:rFonts w:eastAsia="方正仿宋简体"/>
          <w:kern w:val="0"/>
          <w:sz w:val="30"/>
          <w:szCs w:val="30"/>
        </w:rPr>
        <w:t>表决</w:t>
      </w:r>
      <w:r>
        <w:rPr>
          <w:rFonts w:hint="eastAsia" w:eastAsia="方正仿宋简体"/>
          <w:kern w:val="0"/>
          <w:sz w:val="30"/>
          <w:szCs w:val="30"/>
          <w:lang w:val="en-US" w:eastAsia="zh-CN"/>
        </w:rPr>
        <w:t>意见</w:t>
      </w:r>
      <w:r>
        <w:rPr>
          <w:rFonts w:eastAsia="方正仿宋简体"/>
          <w:kern w:val="0"/>
          <w:sz w:val="30"/>
          <w:szCs w:val="30"/>
        </w:rPr>
        <w:t>分为“合格”与“不合格”</w:t>
      </w:r>
      <w:r>
        <w:rPr>
          <w:rFonts w:hint="eastAsia" w:eastAsia="方正仿宋简体"/>
          <w:kern w:val="0"/>
          <w:sz w:val="30"/>
          <w:szCs w:val="30"/>
          <w:lang w:eastAsia="zh-CN"/>
        </w:rPr>
        <w:t>，</w:t>
      </w:r>
      <w:r>
        <w:rPr>
          <w:rFonts w:hint="eastAsia" w:eastAsia="方正仿宋简体"/>
          <w:kern w:val="0"/>
          <w:sz w:val="30"/>
          <w:szCs w:val="30"/>
          <w:lang w:val="en-US" w:eastAsia="zh-CN"/>
        </w:rPr>
        <w:t>根据评议情况和表决结果，依据《学位授权点合格评估办法》，认定参评点评估结果，并形成评估意见，提出处理建议。</w:t>
      </w:r>
      <w:r>
        <w:rPr>
          <w:rFonts w:eastAsia="方正仿宋简体"/>
          <w:kern w:val="0"/>
          <w:sz w:val="30"/>
          <w:szCs w:val="30"/>
        </w:rPr>
        <w:t xml:space="preserve">  </w:t>
      </w:r>
    </w:p>
    <w:p>
      <w:pPr>
        <w:spacing w:line="516" w:lineRule="exact"/>
        <w:ind w:firstLine="560"/>
        <w:rPr>
          <w:rFonts w:hint="eastAsia" w:eastAsia="方正仿宋简体"/>
          <w:kern w:val="0"/>
          <w:sz w:val="30"/>
          <w:szCs w:val="30"/>
        </w:rPr>
      </w:pPr>
      <w:r>
        <w:rPr>
          <w:rFonts w:hint="eastAsia" w:eastAsia="方正仿宋简体"/>
          <w:kern w:val="0"/>
          <w:sz w:val="30"/>
          <w:szCs w:val="30"/>
          <w:lang w:val="en-US" w:eastAsia="zh-CN"/>
        </w:rPr>
        <w:t>5</w:t>
      </w:r>
      <w:r>
        <w:rPr>
          <w:rFonts w:hint="eastAsia" w:eastAsia="方正仿宋简体"/>
          <w:kern w:val="0"/>
          <w:sz w:val="30"/>
          <w:szCs w:val="30"/>
        </w:rPr>
        <w:t>.</w:t>
      </w:r>
      <w:r>
        <w:rPr>
          <w:rFonts w:hint="eastAsia" w:eastAsia="方正仿宋简体"/>
          <w:kern w:val="0"/>
          <w:sz w:val="30"/>
          <w:szCs w:val="30"/>
          <w:lang w:val="en-US" w:eastAsia="zh-CN"/>
        </w:rPr>
        <w:t>学科评议组及时向参评高校反馈专家评议意见，如有参评高校对评议建议提出异议，向学科评议组提出书面异议的，学科评议组自收到书面异议之日起十五日内进行审查、复评，并提交复评结果及书面答复。</w:t>
      </w:r>
    </w:p>
    <w:p>
      <w:pPr>
        <w:spacing w:line="516" w:lineRule="exact"/>
        <w:ind w:firstLine="560"/>
        <w:rPr>
          <w:rFonts w:eastAsia="方正仿宋简体"/>
          <w:kern w:val="0"/>
          <w:sz w:val="30"/>
          <w:szCs w:val="30"/>
        </w:rPr>
      </w:pPr>
      <w:r>
        <w:rPr>
          <w:rFonts w:hint="eastAsia" w:eastAsia="方正仿宋简体"/>
          <w:kern w:val="0"/>
          <w:sz w:val="30"/>
          <w:szCs w:val="30"/>
          <w:lang w:val="en-US" w:eastAsia="zh-CN"/>
        </w:rPr>
        <w:t>6.</w:t>
      </w:r>
      <w:r>
        <w:rPr>
          <w:rFonts w:hint="eastAsia" w:eastAsia="方正仿宋简体"/>
          <w:kern w:val="0"/>
          <w:sz w:val="30"/>
          <w:szCs w:val="30"/>
        </w:rPr>
        <w:t>学科评议组</w:t>
      </w:r>
      <w:r>
        <w:rPr>
          <w:rFonts w:eastAsia="方正仿宋简体"/>
          <w:kern w:val="0"/>
          <w:sz w:val="30"/>
          <w:szCs w:val="30"/>
        </w:rPr>
        <w:t>根据《学位授权点合格评估办法》和表决结果，于201</w:t>
      </w:r>
      <w:r>
        <w:rPr>
          <w:rFonts w:hint="eastAsia" w:eastAsia="方正仿宋简体"/>
          <w:kern w:val="0"/>
          <w:sz w:val="30"/>
          <w:szCs w:val="30"/>
          <w:lang w:val="en-US" w:eastAsia="zh-CN"/>
        </w:rPr>
        <w:t>7</w:t>
      </w:r>
      <w:r>
        <w:rPr>
          <w:rFonts w:eastAsia="方正仿宋简体"/>
          <w:kern w:val="0"/>
          <w:sz w:val="30"/>
          <w:szCs w:val="30"/>
        </w:rPr>
        <w:t>年</w:t>
      </w:r>
      <w:r>
        <w:rPr>
          <w:rFonts w:hint="eastAsia" w:eastAsia="方正仿宋简体"/>
          <w:kern w:val="0"/>
          <w:sz w:val="30"/>
          <w:szCs w:val="30"/>
          <w:lang w:val="en-US" w:eastAsia="zh-CN"/>
        </w:rPr>
        <w:t>8</w:t>
      </w:r>
      <w:r>
        <w:rPr>
          <w:rFonts w:eastAsia="方正仿宋简体"/>
          <w:kern w:val="0"/>
          <w:sz w:val="30"/>
          <w:szCs w:val="30"/>
        </w:rPr>
        <w:t>月3</w:t>
      </w:r>
      <w:r>
        <w:rPr>
          <w:rFonts w:hint="eastAsia" w:eastAsia="方正仿宋简体"/>
          <w:kern w:val="0"/>
          <w:sz w:val="30"/>
          <w:szCs w:val="30"/>
          <w:lang w:val="en-US" w:eastAsia="zh-CN"/>
        </w:rPr>
        <w:t>1</w:t>
      </w:r>
      <w:r>
        <w:rPr>
          <w:rFonts w:eastAsia="方正仿宋简体"/>
          <w:kern w:val="0"/>
          <w:sz w:val="30"/>
          <w:szCs w:val="30"/>
        </w:rPr>
        <w:t>日前</w:t>
      </w:r>
      <w:r>
        <w:rPr>
          <w:rFonts w:hint="eastAsia" w:eastAsia="方正仿宋简体"/>
          <w:kern w:val="0"/>
          <w:sz w:val="30"/>
          <w:szCs w:val="30"/>
          <w:lang w:val="en-US" w:eastAsia="zh-CN"/>
        </w:rPr>
        <w:t>评估报告</w:t>
      </w:r>
      <w:r>
        <w:rPr>
          <w:rFonts w:eastAsia="方正仿宋简体"/>
          <w:kern w:val="0"/>
          <w:sz w:val="30"/>
          <w:szCs w:val="30"/>
        </w:rPr>
        <w:t>报国务院学位委员会办公室。</w:t>
      </w:r>
      <w:r>
        <w:rPr>
          <w:rFonts w:hint="eastAsia" w:eastAsia="方正仿宋简体"/>
          <w:kern w:val="0"/>
          <w:sz w:val="30"/>
          <w:szCs w:val="30"/>
          <w:lang w:val="en-US" w:eastAsia="zh-CN"/>
        </w:rPr>
        <w:t>评估报告包括参评点评估结果（附原始表决结果）、评估意见和处理建议等。</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五、结果处理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w:t>
      </w:r>
      <w:r>
        <w:rPr>
          <w:rFonts w:hint="eastAsia" w:eastAsia="方正仿宋简体"/>
          <w:sz w:val="30"/>
          <w:szCs w:val="30"/>
          <w:lang w:val="en-US" w:eastAsia="zh-CN"/>
        </w:rPr>
        <w:t>后</w:t>
      </w:r>
      <w:r>
        <w:rPr>
          <w:rFonts w:eastAsia="方正仿宋简体"/>
          <w:sz w:val="30"/>
          <w:szCs w:val="30"/>
        </w:rPr>
        <w:t>报国务院学位委员会审批。国务院学位委员会根据评估结果，分别做出继续授权、限期整改、撤销学位授权的处理决定。处理决定向社会公开。</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rPr>
        <w:t>六</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16" w:lineRule="exact"/>
        <w:ind w:firstLine="560"/>
        <w:rPr>
          <w:rFonts w:eastAsia="方正仿宋简体"/>
          <w:sz w:val="30"/>
          <w:szCs w:val="30"/>
        </w:rPr>
      </w:pPr>
      <w:r>
        <w:rPr>
          <w:rFonts w:hint="eastAsia" w:eastAsia="方正仿宋简体"/>
          <w:sz w:val="30"/>
          <w:szCs w:val="30"/>
        </w:rPr>
        <w:t xml:space="preserve">学科评议组联系人： 郑臻荣 ，联系电话： 0571-87951187， 13588180380 ，电子信箱： zzr@zju.edu.cn </w:t>
      </w:r>
    </w:p>
    <w:p>
      <w:pPr>
        <w:spacing w:line="516" w:lineRule="exact"/>
        <w:ind w:firstLine="560"/>
        <w:rPr>
          <w:rFonts w:eastAsia="方正仿宋简体"/>
          <w:sz w:val="30"/>
          <w:szCs w:val="30"/>
        </w:rPr>
      </w:pPr>
      <w:r>
        <w:rPr>
          <w:rFonts w:hint="eastAsia" w:eastAsia="方正仿宋简体"/>
          <w:sz w:val="30"/>
          <w:szCs w:val="30"/>
        </w:rPr>
        <w:t>请将自我评估总结报告和其他评估材料的电子版发至学科评议组联系人电子信箱。</w:t>
      </w:r>
    </w:p>
    <w:p>
      <w:pPr>
        <w:spacing w:line="516" w:lineRule="exact"/>
        <w:ind w:firstLine="560"/>
        <w:rPr>
          <w:rFonts w:eastAsia="方正仿宋简体"/>
          <w:sz w:val="30"/>
          <w:szCs w:val="30"/>
        </w:rPr>
      </w:pPr>
      <w:r>
        <w:rPr>
          <w:rFonts w:hint="eastAsia" w:eastAsia="方正仿宋简体"/>
          <w:sz w:val="30"/>
          <w:szCs w:val="30"/>
        </w:rPr>
        <w:t xml:space="preserve">        </w:t>
      </w:r>
    </w:p>
    <w:p>
      <w:pPr>
        <w:spacing w:line="516" w:lineRule="exact"/>
        <w:ind w:firstLine="600" w:firstLineChars="200"/>
        <w:rPr>
          <w:rFonts w:eastAsia="方正仿宋简体"/>
          <w:sz w:val="30"/>
          <w:szCs w:val="30"/>
        </w:rPr>
      </w:pPr>
    </w:p>
    <w:p>
      <w:pPr>
        <w:spacing w:line="516"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rPr>
        <w:t>专项评估学位授权点名单</w:t>
      </w:r>
    </w:p>
    <w:p>
      <w:pPr>
        <w:spacing w:line="516"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sz w:val="30"/>
          <w:szCs w:val="30"/>
        </w:rPr>
        <w:t xml:space="preserve"> 光学工程</w:t>
      </w:r>
      <w:r>
        <w:rPr>
          <w:rFonts w:hint="eastAsia" w:eastAsia="方正仿宋简体"/>
          <w:bCs/>
          <w:sz w:val="30"/>
          <w:szCs w:val="30"/>
        </w:rPr>
        <w:t>学科学位授权点专项评估要素</w:t>
      </w:r>
    </w:p>
    <w:p>
      <w:pPr>
        <w:spacing w:line="516" w:lineRule="exact"/>
        <w:ind w:firstLine="1500" w:firstLineChars="500"/>
        <w:rPr>
          <w:rFonts w:eastAsia="方正仿宋简体"/>
          <w:bCs/>
          <w:sz w:val="30"/>
          <w:szCs w:val="30"/>
        </w:rPr>
      </w:pPr>
      <w:r>
        <w:rPr>
          <w:rFonts w:eastAsia="方正仿宋简体"/>
          <w:bCs/>
          <w:sz w:val="30"/>
          <w:szCs w:val="30"/>
        </w:rPr>
        <w:t>3.学位授权点</w:t>
      </w:r>
      <w:r>
        <w:rPr>
          <w:rFonts w:hint="eastAsia" w:eastAsia="方正仿宋简体"/>
          <w:bCs/>
          <w:sz w:val="30"/>
          <w:szCs w:val="30"/>
        </w:rPr>
        <w:t>自我评估总结报告</w:t>
      </w:r>
    </w:p>
    <w:p>
      <w:pPr>
        <w:spacing w:line="516" w:lineRule="exact"/>
        <w:ind w:firstLine="1500" w:firstLineChars="500"/>
        <w:rPr>
          <w:rFonts w:eastAsia="方正仿宋简体"/>
          <w:bCs/>
          <w:sz w:val="30"/>
          <w:szCs w:val="30"/>
        </w:rPr>
      </w:pPr>
      <w:r>
        <w:rPr>
          <w:rFonts w:hint="eastAsia" w:eastAsia="方正仿宋简体"/>
          <w:bCs/>
          <w:sz w:val="30"/>
          <w:szCs w:val="30"/>
        </w:rPr>
        <w:t>4.评估所需其他文件和档案资料</w:t>
      </w:r>
    </w:p>
    <w:p>
      <w:pPr>
        <w:autoSpaceDE w:val="0"/>
        <w:autoSpaceDN w:val="0"/>
        <w:adjustRightInd w:val="0"/>
        <w:jc w:val="left"/>
        <w:rPr>
          <w:rFonts w:ascii="仿宋_GB2312" w:hAnsi="Calibri" w:eastAsia="仿宋_GB2312" w:cs="仿宋_GB2312"/>
          <w:kern w:val="0"/>
          <w:sz w:val="28"/>
          <w:szCs w:val="28"/>
        </w:rPr>
      </w:pPr>
      <w:r>
        <w:rPr>
          <w:sz w:val="24"/>
        </w:rPr>
        <w:br w:type="page"/>
      </w:r>
      <w:r>
        <w:rPr>
          <w:rFonts w:hint="eastAsia" w:ascii="仿宋_GB2312" w:hAnsi="Calibri" w:eastAsia="仿宋_GB2312" w:cs="仿宋_GB2312"/>
          <w:kern w:val="0"/>
          <w:sz w:val="28"/>
          <w:szCs w:val="28"/>
        </w:rPr>
        <w:t>附件1：</w:t>
      </w:r>
    </w:p>
    <w:p>
      <w:pPr>
        <w:spacing w:beforeLines="0" w:afterLines="0"/>
        <w:jc w:val="left"/>
        <w:rPr>
          <w:rFonts w:hint="eastAsia" w:ascii="黑体" w:hAnsi="黑体" w:eastAsia="黑体"/>
          <w:sz w:val="28"/>
        </w:rPr>
      </w:pPr>
      <w:r>
        <w:rPr>
          <w:rFonts w:hint="eastAsia" w:ascii="黑体" w:hAnsi="黑体" w:eastAsia="黑体"/>
          <w:sz w:val="28"/>
        </w:rPr>
        <w:t>附件</w:t>
      </w:r>
    </w:p>
    <w:p>
      <w:pPr>
        <w:spacing w:beforeLines="0" w:afterLines="0"/>
        <w:jc w:val="left"/>
        <w:rPr>
          <w:rFonts w:hint="eastAsia" w:ascii="黑体" w:hAnsi="黑体" w:eastAsia="黑体"/>
          <w:sz w:val="30"/>
        </w:rPr>
      </w:pPr>
      <w:r>
        <w:rPr>
          <w:rFonts w:hint="eastAsia" w:ascii="黑体" w:hAnsi="黑体" w:eastAsia="黑体"/>
          <w:sz w:val="30"/>
        </w:rPr>
        <w:t>博士学位授权学科</w:t>
      </w:r>
    </w:p>
    <w:p>
      <w:pPr>
        <w:spacing w:beforeLines="0" w:afterLines="0"/>
        <w:jc w:val="left"/>
        <w:rPr>
          <w:rFonts w:hint="eastAsia" w:ascii="黑体" w:hAnsi="黑体" w:eastAsia="黑体"/>
          <w:sz w:val="28"/>
        </w:rPr>
      </w:pPr>
      <w:r>
        <w:rPr>
          <w:rFonts w:hint="eastAsia" w:ascii="黑体" w:hAnsi="黑体" w:eastAsia="黑体"/>
          <w:sz w:val="28"/>
          <w:lang w:val="en-US" w:eastAsia="zh-CN"/>
        </w:rPr>
        <w:t xml:space="preserve">             </w:t>
      </w:r>
      <w:r>
        <w:rPr>
          <w:rFonts w:hint="eastAsia" w:ascii="黑体" w:hAnsi="黑体" w:eastAsia="黑体"/>
          <w:sz w:val="28"/>
        </w:rPr>
        <w:t xml:space="preserve">学科代码 </w:t>
      </w:r>
      <w:r>
        <w:rPr>
          <w:rFonts w:hint="eastAsia" w:ascii="黑体" w:hAnsi="黑体" w:eastAsia="黑体"/>
          <w:sz w:val="28"/>
          <w:lang w:val="en-US" w:eastAsia="zh-CN"/>
        </w:rPr>
        <w:t xml:space="preserve">  </w:t>
      </w:r>
      <w:r>
        <w:rPr>
          <w:rFonts w:hint="eastAsia" w:ascii="黑体" w:hAnsi="黑体" w:eastAsia="黑体"/>
          <w:sz w:val="28"/>
        </w:rPr>
        <w:t xml:space="preserve">学科名称 </w:t>
      </w:r>
      <w:r>
        <w:rPr>
          <w:rFonts w:hint="eastAsia" w:ascii="黑体" w:hAnsi="黑体" w:eastAsia="黑体"/>
          <w:sz w:val="28"/>
          <w:lang w:val="en-US" w:eastAsia="zh-CN"/>
        </w:rPr>
        <w:t xml:space="preserve">  </w:t>
      </w:r>
      <w:r>
        <w:rPr>
          <w:rFonts w:hint="eastAsia" w:ascii="黑体" w:hAnsi="黑体" w:eastAsia="黑体"/>
          <w:sz w:val="28"/>
        </w:rPr>
        <w:t>学位授予单位名称</w:t>
      </w:r>
    </w:p>
    <w:p>
      <w:pPr>
        <w:spacing w:afterLines="50"/>
        <w:jc w:val="center"/>
        <w:rPr>
          <w:rFonts w:eastAsia="方正小标宋简体"/>
          <w:b/>
          <w:sz w:val="32"/>
          <w:szCs w:val="32"/>
        </w:rPr>
      </w:pP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 xml:space="preserve">0803 </w:t>
      </w: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 xml:space="preserve">光学工程 </w:t>
      </w:r>
      <w:r>
        <w:rPr>
          <w:rFonts w:hint="eastAsia" w:ascii="FangSong_GB2312" w:hAnsi="FangSong_GB2312" w:eastAsia="FangSong_GB2312"/>
          <w:sz w:val="28"/>
          <w:lang w:val="en-US" w:eastAsia="zh-CN"/>
        </w:rPr>
        <w:t xml:space="preserve">     </w:t>
      </w:r>
      <w:r>
        <w:rPr>
          <w:rFonts w:hint="eastAsia" w:ascii="FangSong_GB2312" w:hAnsi="FangSong_GB2312" w:eastAsia="FangSong_GB2312"/>
          <w:sz w:val="28"/>
        </w:rPr>
        <w:t>西安工业大学</w:t>
      </w: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afterLines="50"/>
        <w:jc w:val="center"/>
        <w:rPr>
          <w:rFonts w:eastAsia="方正小标宋简体"/>
          <w:b/>
          <w:sz w:val="32"/>
          <w:szCs w:val="32"/>
        </w:rPr>
      </w:pPr>
    </w:p>
    <w:p>
      <w:pPr>
        <w:spacing w:line="560" w:lineRule="exact"/>
        <w:rPr>
          <w:rFonts w:eastAsia="仿宋_GB2312"/>
          <w:sz w:val="28"/>
          <w:szCs w:val="28"/>
        </w:rPr>
      </w:pPr>
      <w:r>
        <w:rPr>
          <w:rFonts w:hint="eastAsia" w:eastAsia="仿宋_GB2312"/>
          <w:sz w:val="28"/>
          <w:szCs w:val="28"/>
        </w:rPr>
        <w:t>附件</w:t>
      </w:r>
      <w:r>
        <w:rPr>
          <w:rFonts w:hint="eastAsia" w:eastAsia="仿宋_GB2312"/>
          <w:sz w:val="28"/>
          <w:szCs w:val="28"/>
          <w:lang w:val="en-US" w:eastAsia="zh-CN"/>
        </w:rPr>
        <w:t>2</w:t>
      </w:r>
    </w:p>
    <w:p>
      <w:pPr>
        <w:spacing w:afterLines="50"/>
        <w:jc w:val="center"/>
        <w:rPr>
          <w:rFonts w:eastAsia="方正小标宋简体"/>
          <w:b/>
          <w:sz w:val="32"/>
          <w:szCs w:val="32"/>
        </w:rPr>
      </w:pPr>
      <w:r>
        <w:rPr>
          <w:rFonts w:hint="eastAsia" w:eastAsia="方正小标宋简体"/>
          <w:b/>
          <w:sz w:val="32"/>
          <w:szCs w:val="32"/>
        </w:rPr>
        <w:t>光学工程学科学位授权点专项</w:t>
      </w:r>
      <w:r>
        <w:rPr>
          <w:rFonts w:eastAsia="方正小标宋简体"/>
          <w:b/>
          <w:sz w:val="32"/>
          <w:szCs w:val="32"/>
        </w:rPr>
        <w:t>评估</w:t>
      </w:r>
      <w:r>
        <w:rPr>
          <w:rFonts w:hint="eastAsia" w:eastAsia="方正小标宋简体"/>
          <w:b/>
          <w:sz w:val="32"/>
          <w:szCs w:val="32"/>
        </w:rPr>
        <w:t>要素</w:t>
      </w:r>
    </w:p>
    <w:tbl>
      <w:tblPr>
        <w:tblStyle w:val="2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blHeader/>
        </w:trPr>
        <w:tc>
          <w:tcPr>
            <w:tcW w:w="1241"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419"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953"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导师学历、学位、专业技术职务、承担科研项目、所获学术成果和学术交流情况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研究生参与学术训练的情况，包括制度保证、经费支持等。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8学术交流</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9.分流淘汰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10</w:t>
            </w:r>
            <w:r>
              <w:rPr>
                <w:rFonts w:eastAsia="方正仿宋简体"/>
                <w:color w:val="000000"/>
                <w:kern w:val="0"/>
                <w:sz w:val="24"/>
              </w:rPr>
              <w:t>.学位</w:t>
            </w:r>
            <w:r>
              <w:rPr>
                <w:rFonts w:hint="eastAsia" w:eastAsia="方正仿宋简体"/>
                <w:color w:val="000000"/>
                <w:kern w:val="0"/>
                <w:sz w:val="24"/>
              </w:rPr>
              <w:t>论文质量</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质量保证和教学支撑</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11</w:t>
            </w:r>
            <w:r>
              <w:rPr>
                <w:rFonts w:eastAsia="方正仿宋简体"/>
                <w:color w:val="000000"/>
                <w:kern w:val="0"/>
                <w:sz w:val="24"/>
              </w:rPr>
              <w:t>.导师管理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2</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3</w:t>
            </w:r>
            <w:r>
              <w:rPr>
                <w:rFonts w:eastAsia="方正仿宋简体"/>
                <w:color w:val="000000"/>
                <w:kern w:val="0"/>
                <w:sz w:val="24"/>
              </w:rPr>
              <w:t>.教学平台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4</w:t>
            </w:r>
            <w:r>
              <w:rPr>
                <w:rFonts w:eastAsia="方正仿宋简体"/>
                <w:color w:val="000000"/>
                <w:kern w:val="0"/>
                <w:sz w:val="24"/>
              </w:rPr>
              <w:t>.奖助体系</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ectPr>
          <w:footerReference r:id="rId3" w:type="default"/>
          <w:pgSz w:w="11906" w:h="16838"/>
          <w:pgMar w:top="1440" w:right="1797" w:bottom="1440" w:left="1797" w:header="851" w:footer="992" w:gutter="0"/>
          <w:cols w:space="425" w:num="1"/>
          <w:docGrid w:type="linesAndChars" w:linePitch="312" w:charSpace="0"/>
        </w:sectPr>
      </w:pPr>
    </w:p>
    <w:p>
      <w:pPr>
        <w:spacing w:line="560" w:lineRule="exact"/>
        <w:rPr>
          <w:rFonts w:eastAsia="仿宋_GB2312"/>
          <w:sz w:val="28"/>
          <w:szCs w:val="28"/>
        </w:rPr>
      </w:pPr>
      <w:r>
        <w:rPr>
          <w:rFonts w:hint="eastAsia" w:eastAsia="仿宋_GB2312"/>
          <w:sz w:val="28"/>
          <w:szCs w:val="28"/>
        </w:rPr>
        <w:t>附件3</w:t>
      </w:r>
    </w:p>
    <w:p>
      <w:pPr>
        <w:spacing w:afterLines="50" w:line="560" w:lineRule="exact"/>
        <w:jc w:val="center"/>
        <w:rPr>
          <w:rFonts w:eastAsia="方正小标宋简体"/>
          <w:b/>
          <w:sz w:val="52"/>
          <w:szCs w:val="52"/>
        </w:rPr>
      </w:pPr>
    </w:p>
    <w:p>
      <w:pPr>
        <w:spacing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 </w:t>
      </w:r>
      <w:r>
        <w:rPr>
          <w:rFonts w:eastAsia="楷体_GB2312"/>
          <w:b/>
          <w:sz w:val="30"/>
          <w:szCs w:val="30"/>
        </w:rPr>
        <w:t>年  月  日</w:t>
      </w:r>
    </w:p>
    <w:p>
      <w:pPr>
        <w:spacing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540" w:firstLineChars="225"/>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【本部分由学位授权点根据《</w:t>
      </w:r>
      <w:r>
        <w:rPr>
          <w:rFonts w:hint="eastAsia" w:eastAsia="楷体_GB2312"/>
          <w:color w:val="000000"/>
          <w:sz w:val="30"/>
          <w:szCs w:val="30"/>
        </w:rPr>
        <w:t>**学科</w:t>
      </w:r>
      <w:r>
        <w:rPr>
          <w:rFonts w:eastAsia="楷体_GB2312"/>
          <w:color w:val="000000"/>
          <w:sz w:val="30"/>
          <w:szCs w:val="30"/>
        </w:rPr>
        <w:t>学位授权点专项评估</w:t>
      </w:r>
      <w:r>
        <w:rPr>
          <w:rFonts w:hint="eastAsia" w:eastAsia="楷体_GB2312"/>
          <w:color w:val="000000"/>
          <w:sz w:val="30"/>
          <w:szCs w:val="30"/>
        </w:rPr>
        <w:t>要素</w:t>
      </w:r>
      <w:r>
        <w:rPr>
          <w:rFonts w:eastAsia="楷体_GB2312"/>
          <w:color w:val="000000"/>
          <w:sz w:val="30"/>
          <w:szCs w:val="30"/>
        </w:rPr>
        <w:t>》的主要内容进行编写，但不局限于</w:t>
      </w:r>
      <w:r>
        <w:rPr>
          <w:rFonts w:hint="eastAsia" w:eastAsia="楷体_GB2312"/>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hint="eastAsia" w:eastAsia="楷体_GB2312"/>
          <w:color w:val="000000"/>
          <w:sz w:val="30"/>
          <w:szCs w:val="30"/>
        </w:rPr>
        <w:t>，见附表</w:t>
      </w:r>
      <w:r>
        <w:rPr>
          <w:rFonts w:eastAsia="楷体_GB2312"/>
          <w:color w:val="000000"/>
          <w:sz w:val="30"/>
          <w:szCs w:val="30"/>
        </w:rPr>
        <w:t>。】</w:t>
      </w:r>
    </w:p>
    <w:p>
      <w:pPr>
        <w:spacing w:line="520" w:lineRule="exact"/>
        <w:ind w:firstLine="640" w:firstLineChars="200"/>
        <w:rPr>
          <w:rFonts w:eastAsia="方正仿宋简体"/>
          <w:color w:val="000000"/>
          <w:sz w:val="32"/>
          <w:szCs w:val="32"/>
        </w:rPr>
      </w:pPr>
    </w:p>
    <w:p>
      <w:pPr>
        <w:spacing w:line="540" w:lineRule="exact"/>
        <w:ind w:firstLine="600" w:firstLineChars="200"/>
        <w:rPr>
          <w:rFonts w:eastAsia="楷体_GB2312"/>
          <w:color w:val="000000"/>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snapToGrid w:val="0"/>
        <w:spacing w:line="540" w:lineRule="exact"/>
        <w:ind w:firstLine="560" w:firstLineChars="200"/>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研究生</w:t>
      </w:r>
      <w:r>
        <w:rPr>
          <w:rFonts w:ascii="宋体" w:hAnsi="宋体"/>
          <w:sz w:val="28"/>
          <w:szCs w:val="28"/>
        </w:rPr>
        <w:t>指导教师</w:t>
      </w:r>
      <w:r>
        <w:rPr>
          <w:rFonts w:hint="eastAsia" w:ascii="宋体" w:hAnsi="宋体"/>
          <w:sz w:val="28"/>
          <w:szCs w:val="28"/>
        </w:rPr>
        <w:t>统计</w:t>
      </w:r>
      <w:r>
        <w:rPr>
          <w:rFonts w:ascii="宋体" w:hAnsi="宋体"/>
          <w:sz w:val="28"/>
          <w:szCs w:val="28"/>
        </w:rPr>
        <w:t>表</w:t>
      </w:r>
    </w:p>
    <w:p>
      <w:pPr>
        <w:ind w:firstLine="1560" w:firstLineChars="557"/>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研究生指导教师情况汇总表</w:t>
      </w:r>
    </w:p>
    <w:p>
      <w:pPr>
        <w:ind w:left="1980" w:leftChars="743" w:hanging="420" w:hangingChars="15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研究生指导教师近五年承担的代表性科研项目、课题清单</w:t>
      </w:r>
    </w:p>
    <w:p>
      <w:pPr>
        <w:ind w:firstLine="1560" w:firstLineChars="557"/>
        <w:rPr>
          <w:rFonts w:ascii="宋体" w:hAnsi="宋体"/>
          <w:sz w:val="28"/>
          <w:szCs w:val="28"/>
        </w:rPr>
      </w:pPr>
      <w:r>
        <w:rPr>
          <w:rFonts w:hint="eastAsia" w:ascii="宋体" w:hAnsi="宋体"/>
          <w:sz w:val="28"/>
          <w:szCs w:val="28"/>
        </w:rPr>
        <w:t>4. 研究生招生和授予学位情况汇总表</w:t>
      </w:r>
    </w:p>
    <w:p>
      <w:pPr>
        <w:ind w:firstLine="1560" w:firstLineChars="557"/>
        <w:rPr>
          <w:rFonts w:ascii="宋体" w:hAnsi="宋体"/>
          <w:sz w:val="28"/>
          <w:szCs w:val="28"/>
        </w:rPr>
      </w:pPr>
      <w:r>
        <w:rPr>
          <w:rFonts w:hint="eastAsia" w:ascii="宋体" w:hAnsi="宋体"/>
          <w:sz w:val="28"/>
          <w:szCs w:val="28"/>
        </w:rPr>
        <w:t>5．核心课程教学情况表</w:t>
      </w:r>
    </w:p>
    <w:p>
      <w:pPr>
        <w:ind w:firstLine="1560" w:firstLineChars="557"/>
        <w:rPr>
          <w:rFonts w:ascii="宋体" w:hAnsi="宋体"/>
          <w:sz w:val="28"/>
          <w:szCs w:val="28"/>
        </w:rPr>
      </w:pPr>
      <w:r>
        <w:rPr>
          <w:rFonts w:hint="eastAsia" w:ascii="宋体" w:hAnsi="宋体"/>
          <w:sz w:val="28"/>
          <w:szCs w:val="28"/>
        </w:rPr>
        <w:t>6．近五年举办的主要国际国内学术会议表</w:t>
      </w:r>
    </w:p>
    <w:p>
      <w:pPr>
        <w:ind w:left="1980" w:leftChars="743" w:hanging="420" w:hangingChars="150"/>
        <w:rPr>
          <w:rFonts w:ascii="宋体" w:hAnsi="宋体"/>
          <w:sz w:val="28"/>
          <w:szCs w:val="28"/>
        </w:rPr>
      </w:pPr>
      <w:r>
        <w:rPr>
          <w:rFonts w:hint="eastAsia" w:ascii="宋体" w:hAnsi="宋体"/>
          <w:sz w:val="28"/>
          <w:szCs w:val="28"/>
        </w:rPr>
        <w:t>7．近五年教师（或研究生）在国外讲学或在国际会议上做报告情况表</w:t>
      </w:r>
    </w:p>
    <w:p>
      <w:pPr>
        <w:ind w:left="1980" w:leftChars="743" w:hanging="420" w:hangingChars="150"/>
        <w:rPr>
          <w:rFonts w:ascii="宋体" w:hAnsi="宋体"/>
          <w:sz w:val="28"/>
          <w:szCs w:val="28"/>
        </w:rPr>
      </w:pPr>
      <w:r>
        <w:rPr>
          <w:rFonts w:hint="eastAsia" w:ascii="宋体" w:hAnsi="宋体"/>
          <w:sz w:val="28"/>
          <w:szCs w:val="28"/>
        </w:rPr>
        <w:t>8．研究生奖助体系情况汇总表</w:t>
      </w:r>
    </w:p>
    <w:p>
      <w:pPr>
        <w:rPr>
          <w:rFonts w:ascii="宋体" w:hAnsi="宋体"/>
          <w:sz w:val="28"/>
          <w:szCs w:val="28"/>
        </w:rPr>
      </w:pPr>
    </w:p>
    <w:p>
      <w:pPr>
        <w:rPr>
          <w:rFonts w:ascii="宋体" w:hAnsi="宋体"/>
          <w:sz w:val="28"/>
          <w:szCs w:val="28"/>
        </w:rPr>
        <w:sectPr>
          <w:pgSz w:w="11906" w:h="16838"/>
          <w:pgMar w:top="1440" w:right="1797" w:bottom="1440" w:left="1797" w:header="851" w:footer="992" w:gutter="0"/>
          <w:cols w:space="425" w:num="1"/>
          <w:docGrid w:linePitch="312" w:charSpace="0"/>
        </w:sectPr>
      </w:pPr>
      <w:r>
        <w:rPr>
          <w:rFonts w:hint="eastAsia" w:ascii="宋体" w:hAnsi="宋体"/>
          <w:sz w:val="28"/>
          <w:szCs w:val="28"/>
        </w:rPr>
        <w:t xml:space="preserve">   </w:t>
      </w:r>
    </w:p>
    <w:p>
      <w:pPr>
        <w:spacing w:beforeLines="5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24"/>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Lines="5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24"/>
        <w:tblW w:w="13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25" w:type="dxa"/>
            <w:shd w:val="clear" w:color="auto" w:fill="auto"/>
            <w:vAlign w:val="center"/>
          </w:tcPr>
          <w:p>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24"/>
        <w:tblW w:w="13389" w:type="dxa"/>
        <w:jc w:val="center"/>
        <w:tblInd w:w="0" w:type="dxa"/>
        <w:tblLayout w:type="fixed"/>
        <w:tblCellMar>
          <w:top w:w="0" w:type="dxa"/>
          <w:left w:w="28" w:type="dxa"/>
          <w:bottom w:w="0" w:type="dxa"/>
          <w:right w:w="28" w:type="dxa"/>
        </w:tblCellMar>
      </w:tblPr>
      <w:tblGrid>
        <w:gridCol w:w="772"/>
        <w:gridCol w:w="5713"/>
        <w:gridCol w:w="1990"/>
        <w:gridCol w:w="1569"/>
        <w:gridCol w:w="1949"/>
        <w:gridCol w:w="139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r>
        <w:rPr>
          <w:rFonts w:eastAsia="仿宋_GB2312"/>
          <w:color w:val="000000"/>
          <w:sz w:val="24"/>
        </w:rPr>
        <w:br w:type="page"/>
      </w:r>
    </w:p>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24"/>
        <w:tblW w:w="12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372" w:type="dxa"/>
            <w:shd w:val="clear" w:color="auto" w:fill="FFFFFF"/>
          </w:tcPr>
          <w:p>
            <w:pPr>
              <w:widowControl/>
              <w:jc w:val="center"/>
              <w:rPr>
                <w:b/>
                <w:color w:val="000000"/>
                <w:kern w:val="0"/>
                <w:szCs w:val="21"/>
              </w:rPr>
            </w:pPr>
          </w:p>
        </w:tc>
        <w:tc>
          <w:tcPr>
            <w:tcW w:w="1372" w:type="dxa"/>
            <w:shd w:val="clear" w:color="auto" w:fill="FFFFFF"/>
            <w:vAlign w:val="center"/>
          </w:tcPr>
          <w:p>
            <w:pPr>
              <w:widowControl/>
              <w:jc w:val="center"/>
              <w:rPr>
                <w:b/>
                <w:color w:val="000000"/>
                <w:kern w:val="0"/>
                <w:szCs w:val="21"/>
              </w:rPr>
            </w:pPr>
            <w:r>
              <w:rPr>
                <w:b/>
                <w:color w:val="000000"/>
                <w:kern w:val="0"/>
                <w:szCs w:val="21"/>
              </w:rPr>
              <w:t>年份</w:t>
            </w:r>
          </w:p>
        </w:tc>
        <w:tc>
          <w:tcPr>
            <w:tcW w:w="1355" w:type="dxa"/>
            <w:shd w:val="clear" w:color="auto" w:fill="FFFFFF"/>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博士研究生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2011年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2012年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2013年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2014年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硕士研究生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2011年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2012年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2013年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2014年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Style w:val="24"/>
        <w:tblW w:w="13641" w:type="dxa"/>
        <w:jc w:val="center"/>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1</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2</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Lines="5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24"/>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Style w:val="24"/>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Style w:val="24"/>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174"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Lines="50" w:afterLines="50"/>
        <w:jc w:val="center"/>
        <w:rPr>
          <w:color w:val="000000"/>
          <w:kern w:val="0"/>
          <w:sz w:val="24"/>
        </w:rPr>
        <w:sectPr>
          <w:pgSz w:w="16838" w:h="11906" w:orient="landscape"/>
          <w:pgMar w:top="1531" w:right="1531" w:bottom="1531" w:left="1531" w:header="851" w:footer="992" w:gutter="0"/>
          <w:cols w:space="425"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0000000000000000000"/>
    <w:charset w:val="86"/>
    <w:family w:val="auto"/>
    <w:pitch w:val="default"/>
    <w:sig w:usb0="00000000" w:usb1="0000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PMingLiU">
    <w:panose1 w:val="02020500000000000000"/>
    <w:charset w:val="88"/>
    <w:family w:val="auto"/>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MS PGothic">
    <w:panose1 w:val="020B0600070205080204"/>
    <w:charset w:val="80"/>
    <w:family w:val="swiss"/>
    <w:pitch w:val="default"/>
    <w:sig w:usb0="E00002FF" w:usb1="6AC7FDFB" w:usb2="00000012" w:usb3="00000000" w:csb0="4002009F" w:csb1="DFD7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1</w:t>
    </w:r>
    <w:r>
      <w:rPr>
        <w:lang w:val="zh-CN"/>
      </w:rPr>
      <w:fldChar w:fldCharType="end"/>
    </w:r>
  </w:p>
  <w:p>
    <w:pPr>
      <w:tabs>
        <w:tab w:val="center" w:pos="7719"/>
      </w:tabs>
      <w:kinsoku w:val="0"/>
      <w:overflowPunct w:val="0"/>
      <w:spacing w:line="200" w:lineRule="exact"/>
      <w:rPr>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59EDD"/>
    <w:multiLevelType w:val="singleLevel"/>
    <w:tmpl w:val="58F59ED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70E"/>
    <w:rsid w:val="00032C4B"/>
    <w:rsid w:val="0004090F"/>
    <w:rsid w:val="0006046F"/>
    <w:rsid w:val="00060ADD"/>
    <w:rsid w:val="000B03DE"/>
    <w:rsid w:val="000B531C"/>
    <w:rsid w:val="000C0A67"/>
    <w:rsid w:val="000C3293"/>
    <w:rsid w:val="000E070E"/>
    <w:rsid w:val="000E0832"/>
    <w:rsid w:val="00166E1A"/>
    <w:rsid w:val="001A29EF"/>
    <w:rsid w:val="001C140F"/>
    <w:rsid w:val="001D14D3"/>
    <w:rsid w:val="001E5F21"/>
    <w:rsid w:val="001E6706"/>
    <w:rsid w:val="001F6C28"/>
    <w:rsid w:val="002401E3"/>
    <w:rsid w:val="00256F88"/>
    <w:rsid w:val="002638E4"/>
    <w:rsid w:val="0028639B"/>
    <w:rsid w:val="002946F9"/>
    <w:rsid w:val="002C276C"/>
    <w:rsid w:val="002C61A5"/>
    <w:rsid w:val="00320031"/>
    <w:rsid w:val="00336E7B"/>
    <w:rsid w:val="00393C9F"/>
    <w:rsid w:val="003A4F6A"/>
    <w:rsid w:val="003A6679"/>
    <w:rsid w:val="003B3ED2"/>
    <w:rsid w:val="003B606D"/>
    <w:rsid w:val="003C55CE"/>
    <w:rsid w:val="003F6E5D"/>
    <w:rsid w:val="00417740"/>
    <w:rsid w:val="00441705"/>
    <w:rsid w:val="004507AD"/>
    <w:rsid w:val="004601E8"/>
    <w:rsid w:val="00472ECC"/>
    <w:rsid w:val="00493243"/>
    <w:rsid w:val="004973DE"/>
    <w:rsid w:val="004C4DEE"/>
    <w:rsid w:val="004D6592"/>
    <w:rsid w:val="004E0C6C"/>
    <w:rsid w:val="00527EA4"/>
    <w:rsid w:val="005444CB"/>
    <w:rsid w:val="0054482C"/>
    <w:rsid w:val="00552540"/>
    <w:rsid w:val="00556783"/>
    <w:rsid w:val="00567F75"/>
    <w:rsid w:val="00572C06"/>
    <w:rsid w:val="005A137B"/>
    <w:rsid w:val="005B3323"/>
    <w:rsid w:val="005D466E"/>
    <w:rsid w:val="005E2BF9"/>
    <w:rsid w:val="005F1095"/>
    <w:rsid w:val="00623D34"/>
    <w:rsid w:val="0062778C"/>
    <w:rsid w:val="00637C36"/>
    <w:rsid w:val="006B49B8"/>
    <w:rsid w:val="00706548"/>
    <w:rsid w:val="00710C1A"/>
    <w:rsid w:val="0072743F"/>
    <w:rsid w:val="007372E7"/>
    <w:rsid w:val="00766FC1"/>
    <w:rsid w:val="007A499C"/>
    <w:rsid w:val="007A6A3D"/>
    <w:rsid w:val="007B4A66"/>
    <w:rsid w:val="007B78EB"/>
    <w:rsid w:val="007D658A"/>
    <w:rsid w:val="007E3865"/>
    <w:rsid w:val="007F7E59"/>
    <w:rsid w:val="008158A3"/>
    <w:rsid w:val="00815F5A"/>
    <w:rsid w:val="008B4799"/>
    <w:rsid w:val="008D228F"/>
    <w:rsid w:val="008E5D4B"/>
    <w:rsid w:val="009322DB"/>
    <w:rsid w:val="009A4D5C"/>
    <w:rsid w:val="009D1272"/>
    <w:rsid w:val="009F1B50"/>
    <w:rsid w:val="009F50C8"/>
    <w:rsid w:val="00A247C6"/>
    <w:rsid w:val="00A75CD5"/>
    <w:rsid w:val="00A77970"/>
    <w:rsid w:val="00A841A8"/>
    <w:rsid w:val="00AB2D52"/>
    <w:rsid w:val="00AB6737"/>
    <w:rsid w:val="00AE013F"/>
    <w:rsid w:val="00B357B2"/>
    <w:rsid w:val="00B65E15"/>
    <w:rsid w:val="00B8733A"/>
    <w:rsid w:val="00C62817"/>
    <w:rsid w:val="00C84CEC"/>
    <w:rsid w:val="00C95C96"/>
    <w:rsid w:val="00CB56FF"/>
    <w:rsid w:val="00CE2415"/>
    <w:rsid w:val="00CE2498"/>
    <w:rsid w:val="00D24885"/>
    <w:rsid w:val="00D31DDE"/>
    <w:rsid w:val="00D44353"/>
    <w:rsid w:val="00D73722"/>
    <w:rsid w:val="00D873EF"/>
    <w:rsid w:val="00D91FD4"/>
    <w:rsid w:val="00DA52FA"/>
    <w:rsid w:val="00DB6E35"/>
    <w:rsid w:val="00E041E1"/>
    <w:rsid w:val="00E27BA3"/>
    <w:rsid w:val="00E70E0E"/>
    <w:rsid w:val="00E724BE"/>
    <w:rsid w:val="00E74C63"/>
    <w:rsid w:val="00E76A97"/>
    <w:rsid w:val="00E84C1E"/>
    <w:rsid w:val="00EC0B9C"/>
    <w:rsid w:val="00ED6A46"/>
    <w:rsid w:val="00EE407C"/>
    <w:rsid w:val="00F05F1B"/>
    <w:rsid w:val="00F21AA9"/>
    <w:rsid w:val="00F41A8F"/>
    <w:rsid w:val="00F42640"/>
    <w:rsid w:val="00F701FF"/>
    <w:rsid w:val="00F710D2"/>
    <w:rsid w:val="00F728EC"/>
    <w:rsid w:val="00F95D0E"/>
    <w:rsid w:val="00FF0701"/>
    <w:rsid w:val="0DB76528"/>
    <w:rsid w:val="1FAE616D"/>
    <w:rsid w:val="27757184"/>
    <w:rsid w:val="281C4954"/>
    <w:rsid w:val="37527C83"/>
    <w:rsid w:val="4F8E4964"/>
    <w:rsid w:val="5F3229B1"/>
    <w:rsid w:val="6259072F"/>
    <w:rsid w:val="63250F62"/>
    <w:rsid w:val="7D01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0" w:semiHidden="0" w:name="annotation text"/>
    <w:lsdException w:qFormat="1"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39"/>
    <w:qFormat/>
    <w:uiPriority w:val="0"/>
    <w:rPr>
      <w:b/>
      <w:bCs/>
    </w:rPr>
  </w:style>
  <w:style w:type="paragraph" w:styleId="4">
    <w:name w:val="annotation text"/>
    <w:basedOn w:val="1"/>
    <w:link w:val="38"/>
    <w:qFormat/>
    <w:uiPriority w:val="0"/>
    <w:pPr>
      <w:jc w:val="left"/>
    </w:pPr>
  </w:style>
  <w:style w:type="paragraph" w:styleId="5">
    <w:name w:val="caption"/>
    <w:basedOn w:val="1"/>
    <w:next w:val="1"/>
    <w:qFormat/>
    <w:uiPriority w:val="0"/>
    <w:rPr>
      <w:rFonts w:ascii="Calibri" w:hAnsi="Calibri"/>
      <w:sz w:val="20"/>
      <w:szCs w:val="20"/>
    </w:rPr>
  </w:style>
  <w:style w:type="paragraph" w:styleId="6">
    <w:name w:val="Body Text"/>
    <w:basedOn w:val="1"/>
    <w:link w:val="40"/>
    <w:qFormat/>
    <w:uiPriority w:val="0"/>
    <w:pPr>
      <w:spacing w:after="120"/>
    </w:pPr>
  </w:style>
  <w:style w:type="paragraph" w:styleId="7">
    <w:name w:val="Body Text Indent"/>
    <w:basedOn w:val="1"/>
    <w:link w:val="31"/>
    <w:qFormat/>
    <w:uiPriority w:val="0"/>
    <w:pPr>
      <w:ind w:firstLine="640" w:firstLineChars="200"/>
    </w:pPr>
    <w:rPr>
      <w:rFonts w:ascii="仿宋_GB2312" w:hAnsi="宋体" w:eastAsia="仿宋_GB2312"/>
      <w:sz w:val="32"/>
      <w:szCs w:val="28"/>
    </w:rPr>
  </w:style>
  <w:style w:type="paragraph" w:styleId="8">
    <w:name w:val="Plain Text"/>
    <w:basedOn w:val="1"/>
    <w:link w:val="43"/>
    <w:qFormat/>
    <w:uiPriority w:val="0"/>
    <w:rPr>
      <w:rFonts w:ascii="宋体" w:hAnsi="Courier New"/>
      <w:szCs w:val="20"/>
    </w:rPr>
  </w:style>
  <w:style w:type="paragraph" w:styleId="9">
    <w:name w:val="Date"/>
    <w:basedOn w:val="1"/>
    <w:next w:val="1"/>
    <w:link w:val="30"/>
    <w:qFormat/>
    <w:uiPriority w:val="99"/>
    <w:pPr>
      <w:ind w:left="100" w:leftChars="2500"/>
    </w:pPr>
  </w:style>
  <w:style w:type="paragraph" w:styleId="10">
    <w:name w:val="Body Text Indent 2"/>
    <w:basedOn w:val="1"/>
    <w:link w:val="32"/>
    <w:qFormat/>
    <w:uiPriority w:val="0"/>
    <w:pPr>
      <w:spacing w:after="120" w:line="480" w:lineRule="auto"/>
      <w:ind w:left="420"/>
    </w:pPr>
  </w:style>
  <w:style w:type="paragraph" w:styleId="11">
    <w:name w:val="Balloon Text"/>
    <w:basedOn w:val="1"/>
    <w:link w:val="36"/>
    <w:qFormat/>
    <w:uiPriority w:val="0"/>
    <w:rPr>
      <w:sz w:val="18"/>
      <w:szCs w:val="18"/>
    </w:rPr>
  </w:style>
  <w:style w:type="paragraph" w:styleId="12">
    <w:name w:val="footer"/>
    <w:basedOn w:val="1"/>
    <w:link w:val="27"/>
    <w:uiPriority w:val="99"/>
    <w:pPr>
      <w:tabs>
        <w:tab w:val="center" w:pos="4153"/>
        <w:tab w:val="right" w:pos="8306"/>
      </w:tabs>
      <w:snapToGrid w:val="0"/>
      <w:jc w:val="left"/>
    </w:pPr>
    <w:rPr>
      <w:sz w:val="18"/>
      <w:szCs w:val="18"/>
    </w:rPr>
  </w:style>
  <w:style w:type="paragraph" w:styleId="13">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jc w:val="center"/>
    </w:pPr>
    <w:rPr>
      <w:rFonts w:ascii="Calibri" w:hAnsi="Calibri"/>
      <w:b/>
      <w:sz w:val="36"/>
      <w:szCs w:val="36"/>
    </w:rPr>
  </w:style>
  <w:style w:type="paragraph" w:styleId="15">
    <w:name w:val="footnote text"/>
    <w:basedOn w:val="1"/>
    <w:link w:val="28"/>
    <w:semiHidden/>
    <w:qFormat/>
    <w:uiPriority w:val="0"/>
    <w:pPr>
      <w:snapToGrid w:val="0"/>
      <w:jc w:val="left"/>
    </w:pPr>
    <w:rPr>
      <w:sz w:val="18"/>
      <w:szCs w:val="18"/>
    </w:rPr>
  </w:style>
  <w:style w:type="paragraph" w:styleId="16">
    <w:name w:val="Body Text Indent 3"/>
    <w:basedOn w:val="1"/>
    <w:link w:val="33"/>
    <w:uiPriority w:val="0"/>
    <w:pPr>
      <w:spacing w:after="120"/>
      <w:ind w:left="420"/>
    </w:pPr>
    <w:rPr>
      <w:sz w:val="16"/>
      <w:szCs w:val="16"/>
    </w:rPr>
  </w:style>
  <w:style w:type="paragraph" w:styleId="17">
    <w:name w:val="Normal (Web)"/>
    <w:basedOn w:val="1"/>
    <w:qFormat/>
    <w:uiPriority w:val="99"/>
    <w:pPr>
      <w:widowControl/>
      <w:spacing w:before="100" w:beforeAutospacing="1" w:after="100" w:afterAutospacing="1"/>
      <w:jc w:val="left"/>
    </w:pPr>
    <w:rPr>
      <w:rFonts w:ascii="宋体" w:hAnsi="宋体" w:cs="宋体"/>
      <w:color w:val="000000"/>
      <w:kern w:val="0"/>
      <w:sz w:val="24"/>
    </w:rPr>
  </w:style>
  <w:style w:type="character" w:styleId="19">
    <w:name w:val="Strong"/>
    <w:qFormat/>
    <w:uiPriority w:val="22"/>
    <w:rPr>
      <w:b/>
      <w:bCs/>
    </w:rPr>
  </w:style>
  <w:style w:type="character" w:styleId="20">
    <w:name w:val="page number"/>
    <w:basedOn w:val="18"/>
    <w:uiPriority w:val="0"/>
  </w:style>
  <w:style w:type="character" w:styleId="21">
    <w:name w:val="Hyperlink"/>
    <w:qFormat/>
    <w:uiPriority w:val="99"/>
    <w:rPr>
      <w:color w:val="0000FF"/>
      <w:u w:val="single"/>
    </w:rPr>
  </w:style>
  <w:style w:type="character" w:styleId="22">
    <w:name w:val="annotation reference"/>
    <w:qFormat/>
    <w:uiPriority w:val="0"/>
    <w:rPr>
      <w:sz w:val="21"/>
      <w:szCs w:val="21"/>
    </w:rPr>
  </w:style>
  <w:style w:type="character" w:styleId="23">
    <w:name w:val="footnote reference"/>
    <w:semiHidden/>
    <w:qFormat/>
    <w:uiPriority w:val="0"/>
    <w:rPr>
      <w:vertAlign w:val="superscript"/>
    </w:rPr>
  </w:style>
  <w:style w:type="table" w:styleId="25">
    <w:name w:val="Table Grid"/>
    <w:basedOn w:val="24"/>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
    <w:name w:val="标题 1 Char"/>
    <w:link w:val="2"/>
    <w:qFormat/>
    <w:uiPriority w:val="9"/>
    <w:rPr>
      <w:rFonts w:ascii="宋体" w:hAnsi="宋体" w:eastAsia="宋体" w:cs="宋体"/>
      <w:b/>
      <w:bCs/>
      <w:kern w:val="36"/>
      <w:sz w:val="48"/>
      <w:szCs w:val="48"/>
    </w:rPr>
  </w:style>
  <w:style w:type="character" w:customStyle="1" w:styleId="27">
    <w:name w:val="页脚 Char"/>
    <w:link w:val="12"/>
    <w:qFormat/>
    <w:uiPriority w:val="99"/>
    <w:rPr>
      <w:rFonts w:ascii="Times New Roman" w:hAnsi="Times New Roman" w:eastAsia="宋体" w:cs="Times New Roman"/>
      <w:sz w:val="18"/>
      <w:szCs w:val="18"/>
    </w:rPr>
  </w:style>
  <w:style w:type="character" w:customStyle="1" w:styleId="28">
    <w:name w:val="脚注文本 Char"/>
    <w:link w:val="15"/>
    <w:semiHidden/>
    <w:qFormat/>
    <w:uiPriority w:val="0"/>
    <w:rPr>
      <w:rFonts w:ascii="Times New Roman" w:hAnsi="Times New Roman" w:eastAsia="宋体" w:cs="Times New Roman"/>
      <w:sz w:val="18"/>
      <w:szCs w:val="18"/>
    </w:rPr>
  </w:style>
  <w:style w:type="character" w:customStyle="1" w:styleId="29">
    <w:name w:val="style571"/>
    <w:uiPriority w:val="0"/>
    <w:rPr>
      <w:rFonts w:hint="eastAsia" w:ascii="宋体" w:hAnsi="宋体" w:eastAsia="宋体"/>
      <w:sz w:val="18"/>
      <w:szCs w:val="18"/>
    </w:rPr>
  </w:style>
  <w:style w:type="character" w:customStyle="1" w:styleId="30">
    <w:name w:val="日期 Char"/>
    <w:link w:val="9"/>
    <w:qFormat/>
    <w:uiPriority w:val="99"/>
    <w:rPr>
      <w:rFonts w:ascii="Times New Roman" w:hAnsi="Times New Roman" w:eastAsia="宋体" w:cs="Times New Roman"/>
      <w:szCs w:val="24"/>
    </w:rPr>
  </w:style>
  <w:style w:type="character" w:customStyle="1" w:styleId="31">
    <w:name w:val="正文文本缩进 Char"/>
    <w:link w:val="7"/>
    <w:qFormat/>
    <w:uiPriority w:val="0"/>
    <w:rPr>
      <w:rFonts w:ascii="仿宋_GB2312" w:hAnsi="宋体" w:eastAsia="仿宋_GB2312" w:cs="Times New Roman"/>
      <w:sz w:val="32"/>
      <w:szCs w:val="28"/>
    </w:rPr>
  </w:style>
  <w:style w:type="character" w:customStyle="1" w:styleId="32">
    <w:name w:val="正文文本缩进 2 Char"/>
    <w:link w:val="10"/>
    <w:qFormat/>
    <w:uiPriority w:val="0"/>
    <w:rPr>
      <w:rFonts w:ascii="Times New Roman" w:hAnsi="Times New Roman" w:eastAsia="宋体" w:cs="Times New Roman"/>
      <w:szCs w:val="24"/>
    </w:rPr>
  </w:style>
  <w:style w:type="character" w:customStyle="1" w:styleId="33">
    <w:name w:val="正文文本缩进 3 Char"/>
    <w:link w:val="16"/>
    <w:qFormat/>
    <w:uiPriority w:val="0"/>
    <w:rPr>
      <w:rFonts w:ascii="Times New Roman" w:hAnsi="Times New Roman" w:eastAsia="宋体" w:cs="Times New Roman"/>
      <w:sz w:val="16"/>
      <w:szCs w:val="16"/>
    </w:rPr>
  </w:style>
  <w:style w:type="paragraph" w:customStyle="1" w:styleId="34">
    <w:name w:val="Char"/>
    <w:basedOn w:val="1"/>
    <w:qFormat/>
    <w:uiPriority w:val="0"/>
    <w:rPr>
      <w:rFonts w:ascii="Tahoma" w:hAnsi="Tahoma"/>
      <w:sz w:val="24"/>
      <w:szCs w:val="20"/>
    </w:rPr>
  </w:style>
  <w:style w:type="paragraph" w:customStyle="1" w:styleId="35">
    <w:name w:val="彩色列表 - 强调文字颜色 11"/>
    <w:basedOn w:val="1"/>
    <w:qFormat/>
    <w:uiPriority w:val="0"/>
    <w:pPr>
      <w:ind w:firstLine="420" w:firstLineChars="200"/>
    </w:pPr>
    <w:rPr>
      <w:rFonts w:ascii="Cambria" w:hAnsi="Cambria"/>
      <w:szCs w:val="22"/>
    </w:rPr>
  </w:style>
  <w:style w:type="character" w:customStyle="1" w:styleId="36">
    <w:name w:val="批注框文本 Char"/>
    <w:link w:val="11"/>
    <w:qFormat/>
    <w:uiPriority w:val="0"/>
    <w:rPr>
      <w:rFonts w:ascii="Times New Roman" w:hAnsi="Times New Roman" w:eastAsia="宋体" w:cs="Times New Roman"/>
      <w:sz w:val="18"/>
      <w:szCs w:val="18"/>
    </w:rPr>
  </w:style>
  <w:style w:type="character" w:customStyle="1" w:styleId="37">
    <w:name w:val="页眉 Char"/>
    <w:link w:val="13"/>
    <w:qFormat/>
    <w:uiPriority w:val="99"/>
    <w:rPr>
      <w:rFonts w:ascii="Times New Roman" w:hAnsi="Times New Roman" w:eastAsia="宋体" w:cs="Times New Roman"/>
      <w:sz w:val="18"/>
      <w:szCs w:val="18"/>
    </w:rPr>
  </w:style>
  <w:style w:type="character" w:customStyle="1" w:styleId="38">
    <w:name w:val="批注文字 Char"/>
    <w:link w:val="4"/>
    <w:qFormat/>
    <w:uiPriority w:val="0"/>
    <w:rPr>
      <w:rFonts w:ascii="Times New Roman" w:hAnsi="Times New Roman" w:eastAsia="宋体" w:cs="Times New Roman"/>
      <w:szCs w:val="24"/>
    </w:rPr>
  </w:style>
  <w:style w:type="character" w:customStyle="1" w:styleId="39">
    <w:name w:val="批注主题 Char"/>
    <w:link w:val="3"/>
    <w:qFormat/>
    <w:uiPriority w:val="0"/>
    <w:rPr>
      <w:rFonts w:ascii="Times New Roman" w:hAnsi="Times New Roman" w:eastAsia="宋体" w:cs="Times New Roman"/>
      <w:b/>
      <w:bCs/>
      <w:szCs w:val="24"/>
    </w:rPr>
  </w:style>
  <w:style w:type="character" w:customStyle="1" w:styleId="40">
    <w:name w:val="正文文本 Char"/>
    <w:link w:val="6"/>
    <w:qFormat/>
    <w:uiPriority w:val="0"/>
    <w:rPr>
      <w:rFonts w:ascii="Times New Roman" w:hAnsi="Times New Roman" w:eastAsia="宋体" w:cs="Times New Roman"/>
      <w:szCs w:val="24"/>
    </w:rPr>
  </w:style>
  <w:style w:type="paragraph" w:customStyle="1" w:styleId="41">
    <w:name w:val="标题 11"/>
    <w:basedOn w:val="1"/>
    <w:qFormat/>
    <w:uiPriority w:val="1"/>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2">
    <w:name w:val="Table Paragraph"/>
    <w:basedOn w:val="1"/>
    <w:qFormat/>
    <w:uiPriority w:val="1"/>
    <w:pPr>
      <w:autoSpaceDE w:val="0"/>
      <w:autoSpaceDN w:val="0"/>
      <w:adjustRightInd w:val="0"/>
      <w:jc w:val="left"/>
    </w:pPr>
    <w:rPr>
      <w:kern w:val="0"/>
      <w:sz w:val="24"/>
    </w:rPr>
  </w:style>
  <w:style w:type="character" w:customStyle="1" w:styleId="43">
    <w:name w:val="纯文本 Char"/>
    <w:link w:val="8"/>
    <w:qFormat/>
    <w:uiPriority w:val="0"/>
    <w:rPr>
      <w:rFonts w:ascii="宋体" w:hAnsi="Courier New" w:eastAsia="宋体" w:cs="Times New Roman"/>
      <w:szCs w:val="20"/>
    </w:rPr>
  </w:style>
  <w:style w:type="character" w:customStyle="1" w:styleId="44">
    <w:name w:val="访问过的超链接"/>
    <w:unhideWhenUsed/>
    <w:qFormat/>
    <w:uiPriority w:val="99"/>
    <w:rPr>
      <w:color w:val="800080"/>
      <w:u w:val="single"/>
    </w:rPr>
  </w:style>
  <w:style w:type="table" w:customStyle="1" w:styleId="45">
    <w:name w:val="网格型1"/>
    <w:basedOn w:val="2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7">
    <w:name w:val="标准"/>
    <w:basedOn w:val="1"/>
    <w:qFormat/>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2DC3A-4631-49C0-91A1-0B4E05803C83}">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703</Words>
  <Characters>4011</Characters>
  <Lines>33</Lines>
  <Paragraphs>9</Paragraphs>
  <ScaleCrop>false</ScaleCrop>
  <LinksUpToDate>false</LinksUpToDate>
  <CharactersWithSpaces>4705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2015-06-24T03:41:00Z</dcterms:created>
  <dc:creator>wangping</dc:creator>
  <cp:lastModifiedBy>zlczws</cp:lastModifiedBy>
  <cp:lastPrinted>2015-05-22T02:24:00Z</cp:lastPrinted>
  <dcterms:modified xsi:type="dcterms:W3CDTF">2017-04-26T06:15:08Z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